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1577B">
      <w:pPr>
        <w:spacing w:line="480" w:lineRule="exact"/>
        <w:ind w:firstLine="640" w:firstLineChars="200"/>
        <w:jc w:val="center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评审表</w:t>
      </w:r>
    </w:p>
    <w:p w14:paraId="1A7EDFBC">
      <w:pPr>
        <w:spacing w:line="500" w:lineRule="exact"/>
        <w:ind w:firstLine="140" w:firstLineChars="50"/>
        <w:rPr>
          <w:rFonts w:ascii="宋体" w:hAnsi="宋体" w:eastAsia="宋体" w:cs="宋体"/>
          <w:sz w:val="28"/>
          <w:szCs w:val="28"/>
          <w:u w:val="single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bookmarkEnd w:id="0"/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299"/>
        <w:gridCol w:w="1295"/>
        <w:gridCol w:w="1267"/>
      </w:tblGrid>
      <w:tr w14:paraId="4BD4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38" w:type="dxa"/>
            <w:vAlign w:val="center"/>
          </w:tcPr>
          <w:p w14:paraId="19DBFCFD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评分项目</w:t>
            </w:r>
          </w:p>
        </w:tc>
        <w:tc>
          <w:tcPr>
            <w:tcW w:w="5299" w:type="dxa"/>
            <w:vAlign w:val="center"/>
          </w:tcPr>
          <w:p w14:paraId="662E032F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评分因素</w:t>
            </w:r>
          </w:p>
        </w:tc>
        <w:tc>
          <w:tcPr>
            <w:tcW w:w="1295" w:type="dxa"/>
            <w:vAlign w:val="center"/>
          </w:tcPr>
          <w:p w14:paraId="69640B99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分值</w:t>
            </w:r>
          </w:p>
        </w:tc>
        <w:tc>
          <w:tcPr>
            <w:tcW w:w="1267" w:type="dxa"/>
            <w:vAlign w:val="center"/>
          </w:tcPr>
          <w:p w14:paraId="546D23E8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得分</w:t>
            </w:r>
          </w:p>
        </w:tc>
      </w:tr>
      <w:tr w14:paraId="2590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38" w:type="dxa"/>
            <w:vAlign w:val="center"/>
          </w:tcPr>
          <w:p w14:paraId="6B9050A7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企业资质</w:t>
            </w:r>
          </w:p>
          <w:p w14:paraId="77D5A799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（</w:t>
            </w:r>
            <w:r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0分）</w:t>
            </w:r>
          </w:p>
        </w:tc>
        <w:tc>
          <w:tcPr>
            <w:tcW w:w="5299" w:type="dxa"/>
            <w:vAlign w:val="center"/>
          </w:tcPr>
          <w:p w14:paraId="2F679EEC">
            <w:pPr>
              <w:pStyle w:val="7"/>
              <w:spacing w:before="26" w:line="360" w:lineRule="exact"/>
              <w:ind w:left="119"/>
              <w:jc w:val="left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相关再生资源回收经营备案登记证明</w:t>
            </w:r>
          </w:p>
        </w:tc>
        <w:tc>
          <w:tcPr>
            <w:tcW w:w="1295" w:type="dxa"/>
            <w:vAlign w:val="center"/>
          </w:tcPr>
          <w:p w14:paraId="7E24E5EE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1-</w:t>
            </w:r>
            <w:r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0分</w:t>
            </w:r>
          </w:p>
        </w:tc>
        <w:tc>
          <w:tcPr>
            <w:tcW w:w="1267" w:type="dxa"/>
            <w:vAlign w:val="center"/>
          </w:tcPr>
          <w:p w14:paraId="7C2CEFB8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</w:p>
        </w:tc>
      </w:tr>
      <w:tr w14:paraId="52D7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8" w:type="dxa"/>
            <w:vAlign w:val="center"/>
          </w:tcPr>
          <w:p w14:paraId="324411C9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服务方案</w:t>
            </w:r>
          </w:p>
          <w:p w14:paraId="2B9F4807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分）</w:t>
            </w:r>
          </w:p>
        </w:tc>
        <w:tc>
          <w:tcPr>
            <w:tcW w:w="5299" w:type="dxa"/>
            <w:vAlign w:val="center"/>
          </w:tcPr>
          <w:p w14:paraId="08E85608">
            <w:pPr>
              <w:pStyle w:val="7"/>
              <w:spacing w:before="26" w:line="360" w:lineRule="exact"/>
              <w:ind w:left="119"/>
              <w:jc w:val="left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由评审小组对各供应商响应文件的服务方案，从服务响应速度、问题处理解决方案、日常维护检修实验、应急服务等方面横向比较进行评审进行综合打分，分为三个档次：客观、现实、详细的为第一档（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分）；较详细的为第二档（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分）；不详细的为第三档（1-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分）。</w:t>
            </w:r>
          </w:p>
        </w:tc>
        <w:tc>
          <w:tcPr>
            <w:tcW w:w="1295" w:type="dxa"/>
            <w:vAlign w:val="center"/>
          </w:tcPr>
          <w:p w14:paraId="08D16306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1-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</w:t>
            </w:r>
          </w:p>
        </w:tc>
        <w:tc>
          <w:tcPr>
            <w:tcW w:w="1267" w:type="dxa"/>
            <w:vAlign w:val="center"/>
          </w:tcPr>
          <w:p w14:paraId="310EA498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</w:p>
        </w:tc>
      </w:tr>
      <w:tr w14:paraId="13A1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8" w:type="dxa"/>
            <w:vAlign w:val="center"/>
          </w:tcPr>
          <w:p w14:paraId="00AD74A9">
            <w:pPr>
              <w:pStyle w:val="7"/>
              <w:spacing w:before="26" w:line="360" w:lineRule="exact"/>
              <w:ind w:left="11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业绩条件（20分）</w:t>
            </w:r>
          </w:p>
        </w:tc>
        <w:tc>
          <w:tcPr>
            <w:tcW w:w="5299" w:type="dxa"/>
            <w:vAlign w:val="center"/>
          </w:tcPr>
          <w:p w14:paraId="0FAA4338">
            <w:pPr>
              <w:pStyle w:val="7"/>
              <w:spacing w:before="26" w:line="360" w:lineRule="exact"/>
              <w:ind w:left="119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近三年相关机关企事业单位固定资产处置服务业绩，每提供一项服务业绩材料5分，封顶20分。</w:t>
            </w:r>
          </w:p>
        </w:tc>
        <w:tc>
          <w:tcPr>
            <w:tcW w:w="1295" w:type="dxa"/>
            <w:vAlign w:val="center"/>
          </w:tcPr>
          <w:p w14:paraId="1C380C5D">
            <w:pPr>
              <w:pStyle w:val="7"/>
              <w:spacing w:before="26" w:line="360" w:lineRule="exact"/>
              <w:ind w:left="11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1-20分</w:t>
            </w:r>
          </w:p>
        </w:tc>
        <w:tc>
          <w:tcPr>
            <w:tcW w:w="1267" w:type="dxa"/>
            <w:vAlign w:val="center"/>
          </w:tcPr>
          <w:p w14:paraId="763F4A96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</w:p>
        </w:tc>
      </w:tr>
      <w:tr w14:paraId="03D6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8" w:type="dxa"/>
            <w:vAlign w:val="center"/>
          </w:tcPr>
          <w:p w14:paraId="2D6AC97D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人员配备</w:t>
            </w:r>
          </w:p>
          <w:p w14:paraId="309A04BB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分）</w:t>
            </w:r>
          </w:p>
        </w:tc>
        <w:tc>
          <w:tcPr>
            <w:tcW w:w="5299" w:type="dxa"/>
            <w:vAlign w:val="center"/>
          </w:tcPr>
          <w:p w14:paraId="0B6CFF16">
            <w:pPr>
              <w:pStyle w:val="7"/>
              <w:spacing w:before="26" w:line="360" w:lineRule="exact"/>
              <w:ind w:left="119"/>
              <w:jc w:val="left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现场工作人员应当取得相应的《特种设备作业人员证》，由磋商小组对各供应商响应文件中专业技术人员的数量、能力、实施经验进行评价，横向比较，综合打分，优良的得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分，一般的得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9</w:t>
            </w:r>
            <w:r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分，差的得1-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分。</w:t>
            </w:r>
          </w:p>
        </w:tc>
        <w:tc>
          <w:tcPr>
            <w:tcW w:w="1295" w:type="dxa"/>
            <w:vAlign w:val="center"/>
          </w:tcPr>
          <w:p w14:paraId="5AD054E5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1-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分</w:t>
            </w:r>
          </w:p>
        </w:tc>
        <w:tc>
          <w:tcPr>
            <w:tcW w:w="1267" w:type="dxa"/>
            <w:vAlign w:val="center"/>
          </w:tcPr>
          <w:p w14:paraId="1F535307">
            <w:pPr>
              <w:pStyle w:val="7"/>
              <w:spacing w:before="26" w:line="360" w:lineRule="exact"/>
              <w:ind w:left="119"/>
              <w:jc w:val="center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</w:p>
        </w:tc>
      </w:tr>
      <w:tr w14:paraId="5C79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538" w:type="dxa"/>
            <w:vAlign w:val="center"/>
          </w:tcPr>
          <w:p w14:paraId="73A72CAB">
            <w:pPr>
              <w:adjustRightInd w:val="0"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lang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bidi="zh-CN"/>
              </w:rPr>
              <w:t>价格分</w:t>
            </w:r>
          </w:p>
          <w:p w14:paraId="0396D64D">
            <w:pPr>
              <w:adjustRightInd w:val="0"/>
              <w:spacing w:line="360" w:lineRule="exact"/>
              <w:ind w:left="-141" w:leftChars="-67" w:right="-107" w:rightChars="-51"/>
              <w:jc w:val="center"/>
              <w:rPr>
                <w:rFonts w:ascii="方正仿宋_GB2312" w:hAnsi="方正仿宋_GB2312" w:eastAsia="方正仿宋_GB2312" w:cs="方正仿宋_GB2312"/>
                <w:sz w:val="24"/>
                <w:lang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bidi="zh-CN"/>
              </w:rPr>
              <w:t>（30分）</w:t>
            </w:r>
          </w:p>
        </w:tc>
        <w:tc>
          <w:tcPr>
            <w:tcW w:w="6594" w:type="dxa"/>
            <w:gridSpan w:val="2"/>
            <w:vAlign w:val="center"/>
          </w:tcPr>
          <w:p w14:paraId="3F5174DF">
            <w:pPr>
              <w:spacing w:line="360" w:lineRule="exact"/>
              <w:jc w:val="left"/>
              <w:rPr>
                <w:rFonts w:ascii="方正仿宋_GB2312" w:hAnsi="方正仿宋_GB2312" w:eastAsia="方正仿宋_GB2312" w:cs="方正仿宋_GB2312"/>
                <w:sz w:val="24"/>
                <w:lang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bidi="zh-CN"/>
              </w:rPr>
              <w:t>价格分统一采用高价优先法，即满足招标文件要求且投标价格最高的最终报价为评审基准价，其价格分为满分30分。其他供应商的价格分统一按照下列公式计算：</w:t>
            </w:r>
          </w:p>
          <w:p w14:paraId="164945A6">
            <w:pPr>
              <w:pStyle w:val="7"/>
              <w:spacing w:before="26" w:line="360" w:lineRule="exact"/>
              <w:ind w:left="119"/>
              <w:jc w:val="left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/>
              </w:rPr>
              <w:t>投标报价得分＝（最终响应报价/评审基准价）×30％×100。</w:t>
            </w:r>
          </w:p>
        </w:tc>
        <w:tc>
          <w:tcPr>
            <w:tcW w:w="1267" w:type="dxa"/>
            <w:vAlign w:val="center"/>
          </w:tcPr>
          <w:p w14:paraId="568325E4">
            <w:pPr>
              <w:pStyle w:val="7"/>
              <w:spacing w:before="26" w:line="360" w:lineRule="exact"/>
              <w:ind w:left="119"/>
              <w:jc w:val="left"/>
              <w:rPr>
                <w:rFonts w:ascii="方正仿宋_GB2312" w:hAnsi="方正仿宋_GB2312" w:eastAsia="方正仿宋_GB2312" w:cs="方正仿宋_GB2312"/>
                <w:sz w:val="24"/>
                <w:lang w:val="en-US"/>
              </w:rPr>
            </w:pPr>
          </w:p>
        </w:tc>
      </w:tr>
      <w:tr w14:paraId="0AA7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38" w:type="dxa"/>
            <w:vAlign w:val="center"/>
          </w:tcPr>
          <w:p w14:paraId="359212CD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合计</w:t>
            </w:r>
          </w:p>
        </w:tc>
        <w:tc>
          <w:tcPr>
            <w:tcW w:w="7861" w:type="dxa"/>
            <w:gridSpan w:val="3"/>
            <w:vAlign w:val="center"/>
          </w:tcPr>
          <w:p w14:paraId="70C619E3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4DB7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38" w:type="dxa"/>
            <w:vAlign w:val="center"/>
          </w:tcPr>
          <w:p w14:paraId="1437FD75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评审专家</w:t>
            </w:r>
          </w:p>
          <w:p w14:paraId="4245E412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签字</w:t>
            </w:r>
          </w:p>
        </w:tc>
        <w:tc>
          <w:tcPr>
            <w:tcW w:w="7861" w:type="dxa"/>
            <w:gridSpan w:val="3"/>
            <w:vAlign w:val="center"/>
          </w:tcPr>
          <w:p w14:paraId="30A6D312">
            <w:pPr>
              <w:spacing w:line="360" w:lineRule="exac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</w:tbl>
    <w:p w14:paraId="3D8BF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1176"/>
      </w:tabs>
      <w:spacing w:line="360" w:lineRule="auto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2024-12-23T01:33:04Z</dcterms:created>
  <dc:creator>财务科3</dc:creator>
  <cp:lastModifiedBy>Z one。</cp:lastModifiedBy>
  <dcterms:modified xsi:type="dcterms:W3CDTF">2024-12-23T01:33:20Z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6730C27A24EA4ADF8CBC28E4B8C8FF12_12</vt:lpwstr>
  </property>
</Properties>
</file>